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976FBE"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6A18025" w:rsidR="00093CA9" w:rsidRPr="00063B30" w:rsidRDefault="00960D32" w:rsidP="00093CA9">
            <w:pPr>
              <w:rPr>
                <w:lang w:val="it-IT"/>
              </w:rPr>
            </w:pPr>
            <w:r w:rsidRPr="00960D32">
              <w:rPr>
                <w:lang w:val="it-IT"/>
              </w:rPr>
              <w:t xml:space="preserve">Cappelli Riolo Calderaro Crisostomo Del Din &amp; Partners </w:t>
            </w:r>
            <w:r w:rsidR="003566B6">
              <w:rPr>
                <w:lang w:val="it-IT"/>
              </w:rPr>
              <w:t xml:space="preserve">Studio Legale </w:t>
            </w:r>
            <w:r w:rsidRPr="00960D32">
              <w:rPr>
                <w:lang w:val="it-IT"/>
              </w:rPr>
              <w:t>(CRCCD)</w:t>
            </w:r>
            <w:r w:rsidR="00FD2D9C">
              <w:rPr>
                <w:lang w:val="it-IT"/>
              </w:rPr>
              <w:t>.</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DD94B14" w:rsidR="00093CA9" w:rsidRDefault="002749DC" w:rsidP="00093CA9">
            <w:r>
              <w:t>Italy</w:t>
            </w:r>
            <w:r w:rsidR="00FD2D9C">
              <w:t>.</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51AF3F" w:rsidR="00093CA9" w:rsidRPr="00960D32" w:rsidRDefault="00043F2B" w:rsidP="000C75C6">
            <w:pPr>
              <w:spacing w:before="0" w:after="0"/>
              <w:rPr>
                <w:rFonts w:cstheme="minorHAnsi"/>
                <w:color w:val="333333"/>
              </w:rPr>
            </w:pPr>
            <w:r w:rsidRPr="00043F2B">
              <w:rPr>
                <w:rFonts w:cstheme="minorHAnsi"/>
                <w:color w:val="333333"/>
              </w:rPr>
              <w:t>Law</w:t>
            </w:r>
            <w:r w:rsidR="000C75C6">
              <w:rPr>
                <w:rFonts w:cstheme="minorHAnsi"/>
                <w:color w:val="333333"/>
              </w:rPr>
              <w:t>-</w:t>
            </w:r>
            <w:r w:rsidRPr="00043F2B">
              <w:rPr>
                <w:rFonts w:cstheme="minorHAnsi"/>
                <w:color w:val="333333"/>
              </w:rPr>
              <w:t xml:space="preserve">Decree </w:t>
            </w:r>
            <w:r w:rsidR="000C75C6" w:rsidRPr="00043F2B">
              <w:rPr>
                <w:rFonts w:cstheme="minorHAnsi"/>
                <w:color w:val="333333"/>
              </w:rPr>
              <w:t xml:space="preserve">of 17 October 2024, </w:t>
            </w:r>
            <w:r w:rsidR="000C75C6">
              <w:rPr>
                <w:rFonts w:cstheme="minorHAnsi"/>
                <w:color w:val="333333"/>
              </w:rPr>
              <w:t>No</w:t>
            </w:r>
            <w:r w:rsidR="000C75C6" w:rsidRPr="00043F2B">
              <w:rPr>
                <w:rFonts w:cstheme="minorHAnsi"/>
                <w:color w:val="333333"/>
              </w:rPr>
              <w:t>. 153</w:t>
            </w:r>
            <w:r w:rsidR="000C75C6">
              <w:rPr>
                <w:rFonts w:cstheme="minorHAnsi"/>
                <w:color w:val="333333"/>
              </w:rPr>
              <w:t>, converted into Law, with amendments, by Law of 13 December 2024, No. 191 (</w:t>
            </w:r>
            <w:r w:rsidR="000C75C6">
              <w:rPr>
                <w:rFonts w:cstheme="minorHAnsi"/>
                <w:i/>
                <w:iCs/>
                <w:color w:val="333333"/>
              </w:rPr>
              <w:t>Decreto-legge 17 ottobre 2024, n. 153, convertito con modificazioni dalla legge 13 dicembre 2024, n. 191</w:t>
            </w:r>
            <w:r w:rsidR="000C75C6">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919B45A" w:rsidR="00093CA9" w:rsidRDefault="000C75C6" w:rsidP="00093CA9">
            <w:hyperlink r:id="rId17" w:history="1">
              <w:r w:rsidRPr="00921045">
                <w:rPr>
                  <w:rStyle w:val="Collegamentoipertestuale"/>
                </w:rPr>
                <w:t>https://web.archive.org/web/20250707201711/https://www.consob.it/web/area-pubblica/-/richiamo-di-attenzione-n-1-25-dell-11-febbraio-2025</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0D999A8" w:rsidR="00093CA9" w:rsidRDefault="00043F2B"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1D323E1" w14:textId="6C2EC9E9" w:rsidR="00CA71DE" w:rsidRPr="00046C17" w:rsidRDefault="00976FBE" w:rsidP="00CA71DE">
            <w:pPr>
              <w:jc w:val="both"/>
            </w:pPr>
            <w:r>
              <w:t>The policy tool</w:t>
            </w:r>
            <w:r w:rsidR="00CA71DE" w:rsidRPr="00046C17">
              <w:t xml:space="preserve"> constitutes an urgent legislative intervention focused on environmental protection, the streamlining of environmental assessment and authorization processes, the promotion of the circular economy, and the implementation of measures concerning the remediation of contaminated sites and the management of hydrogeological risks. This decree aims </w:t>
            </w:r>
            <w:r w:rsidR="00820C8B">
              <w:t>at</w:t>
            </w:r>
            <w:r w:rsidR="00CA71DE" w:rsidRPr="00046C17">
              <w:t xml:space="preserve"> harmoniz</w:t>
            </w:r>
            <w:r w:rsidR="00820C8B">
              <w:t>ing</w:t>
            </w:r>
            <w:r w:rsidR="00CA71DE" w:rsidRPr="00046C17">
              <w:t xml:space="preserve"> environmental safeguarding with the imperative of ensuring energy security and the timely fulfillment of national strategic objectives, notably those set forth in the National Recovery and Resilience Plan (PNRR) and the National Integrated Energy and Climate Plan (PNIEC).</w:t>
            </w:r>
          </w:p>
          <w:p w14:paraId="0C143EC4" w14:textId="77777777" w:rsidR="00CA71DE" w:rsidRPr="00046C17" w:rsidRDefault="00CA71DE" w:rsidP="00CA71DE">
            <w:pPr>
              <w:jc w:val="both"/>
            </w:pPr>
            <w:r w:rsidRPr="00046C17">
              <w:t>More precisely, the decree facilitates the simplification and prioritization of environmental evaluation procedures to expedite investments in sectors deemed strategic for national development and energy autonomy. It delineates priority criteria for projects that align with decarbonization objectives, the advancement of renewable energy, and the enhancement of infrastructure, thereby fostering the transition towards a sustainable energy framework. Additionally, the decree introduces provisions designed to guarantee regulatory certainty in the exploration and production of hydrocarbons, balancing environmental protection imperatives with the necessity of securing energy supply.</w:t>
            </w:r>
          </w:p>
          <w:p w14:paraId="7FB89860" w14:textId="1A286261" w:rsidR="00CA71DE" w:rsidRPr="00046C17" w:rsidRDefault="00CA71DE" w:rsidP="00CA71DE">
            <w:pPr>
              <w:jc w:val="both"/>
            </w:pPr>
            <w:r w:rsidRPr="00046C17">
              <w:t>The significance of Law Decree 153/2024 in the context of transition planning resides in its holistic approach to accelerating the green transition through regulatory s</w:t>
            </w:r>
            <w:r w:rsidR="00820C8B">
              <w:t>i</w:t>
            </w:r>
            <w:r w:rsidRPr="00046C17">
              <w:t>mplification, the prioritization of renewable energy initiatives, and the incorporation of circular economy principles. It reinforces administrative capacities and promotes coordination among public authorities to ensure the effective execution of environmental and energy policies, thereby supporting Italy’s commitment to meeting its climate and energy targets within the frameworks established by the PNRR and PNIEC.</w:t>
            </w:r>
          </w:p>
          <w:p w14:paraId="18257824" w14:textId="186CF87A" w:rsidR="00093CA9" w:rsidRDefault="00CA71DE" w:rsidP="00046C17">
            <w:pPr>
              <w:jc w:val="both"/>
            </w:pPr>
            <w:r w:rsidRPr="00046C17">
              <w:t>In conclusion, Law Decree 153/2024 functions as a fundamental legislative instrument that advances Italy’s environmental and energy transition by fostering sustainable development, improving procedural efficiency, and ensuring coherence with both national and European strategic objectives.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F4DD548" w:rsidR="00093CA9" w:rsidRDefault="00063B30"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lastRenderedPageBreak/>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E0FECE" w:rsidR="00093CA9" w:rsidRPr="00173D7C" w:rsidRDefault="00063B30" w:rsidP="00093CA9">
            <w:pPr>
              <w:rPr>
                <w:color w:val="000000" w:themeColor="text1"/>
              </w:rPr>
            </w:pPr>
            <w:r>
              <w:rPr>
                <w:color w:val="000000" w:themeColor="text1"/>
              </w:rPr>
              <w:t>2024</w:t>
            </w:r>
            <w:r w:rsidR="00FD2D9C">
              <w:rPr>
                <w:color w:val="000000" w:themeColor="text1"/>
              </w:rPr>
              <w:t>.</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1114F55" w:rsidR="00093CA9" w:rsidRPr="00173D7C" w:rsidRDefault="003117FD" w:rsidP="00093CA9">
            <w:pPr>
              <w:rPr>
                <w:color w:val="000000" w:themeColor="text1"/>
              </w:rPr>
            </w:pPr>
            <w:r>
              <w:rPr>
                <w:color w:val="000000" w:themeColor="text1"/>
              </w:rPr>
              <w:t>2024</w:t>
            </w:r>
            <w:r w:rsidR="00FD2D9C">
              <w:rPr>
                <w:color w:val="000000" w:themeColor="text1"/>
              </w:rPr>
              <w:t>.</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CF121FB" w:rsidR="003117FD" w:rsidRPr="00976FBE" w:rsidRDefault="00976FBE" w:rsidP="00976FBE">
            <w:pPr>
              <w:jc w:val="both"/>
            </w:pPr>
            <w:r>
              <w:t>The policy tool, while formally issued by the</w:t>
            </w:r>
            <w:r w:rsidR="003117FD" w:rsidRPr="003117FD">
              <w:t xml:space="preserve"> President of the</w:t>
            </w:r>
            <w:r>
              <w:t xml:space="preserve"> Italian</w:t>
            </w:r>
            <w:r w:rsidR="003117FD" w:rsidRPr="003117FD">
              <w:t xml:space="preserve"> Republic</w:t>
            </w:r>
            <w:r>
              <w:t>,</w:t>
            </w:r>
            <w:r w:rsidR="003117FD" w:rsidRPr="003117FD">
              <w:t xml:space="preserve"> </w:t>
            </w:r>
            <w:r>
              <w:t>has been a</w:t>
            </w:r>
            <w:r w:rsidR="003117FD" w:rsidRPr="003117FD">
              <w:t>dopted</w:t>
            </w:r>
            <w:r>
              <w:t xml:space="preserve"> by the Italian cabinet up</w:t>
            </w:r>
            <w:r w:rsidR="003117FD" w:rsidRPr="003117FD">
              <w:t xml:space="preserve">on the proposal of the President of the Council of Ministers </w:t>
            </w:r>
            <w:r>
              <w:t>(</w:t>
            </w:r>
            <w:r>
              <w:rPr>
                <w:i/>
                <w:iCs/>
              </w:rPr>
              <w:t xml:space="preserve">Presidente del Consiglio dei </w:t>
            </w:r>
            <w:r w:rsidRPr="00976FBE">
              <w:rPr>
                <w:i/>
                <w:iCs/>
              </w:rPr>
              <w:t>ministri</w:t>
            </w:r>
            <w:r>
              <w:t xml:space="preserve">) </w:t>
            </w:r>
            <w:r w:rsidR="003117FD" w:rsidRPr="00976FBE">
              <w:t>and</w:t>
            </w:r>
            <w:r w:rsidR="003117FD" w:rsidRPr="003117FD">
              <w:t xml:space="preserve"> the </w:t>
            </w:r>
            <w:r w:rsidR="00FD2D9C" w:rsidRPr="003117FD">
              <w:t>Minister of the Environment and Energy Security</w:t>
            </w:r>
            <w:r w:rsidR="00194171">
              <w:t xml:space="preserve"> (</w:t>
            </w:r>
            <w:r w:rsidR="00194171" w:rsidRPr="00046C17">
              <w:rPr>
                <w:i/>
                <w:iCs/>
              </w:rPr>
              <w:t>Ministro dell'ambiente e della sicurezza energetica</w:t>
            </w:r>
            <w:r>
              <w:t xml:space="preserve"> or MASE</w:t>
            </w:r>
            <w:r w:rsidR="00194171">
              <w:t>)</w:t>
            </w:r>
            <w:r w:rsidR="003117FD" w:rsidRPr="003117FD">
              <w:t>, in coordination with the M</w:t>
            </w:r>
            <w:r w:rsidR="003117FD" w:rsidRPr="00976FBE">
              <w:t>inister of Culture</w:t>
            </w:r>
            <w:r w:rsidRPr="00976FBE">
              <w:t xml:space="preserve"> (</w:t>
            </w:r>
            <w:r w:rsidRPr="00976FBE">
              <w:rPr>
                <w:i/>
                <w:iCs/>
              </w:rPr>
              <w:t>Ministro della cultura</w:t>
            </w:r>
            <w:r w:rsidRPr="00976FBE">
              <w:t>)</w:t>
            </w:r>
            <w:r w:rsidR="003117FD" w:rsidRPr="00976FBE">
              <w:t xml:space="preserve"> and</w:t>
            </w:r>
            <w:r w:rsidR="00300EDF" w:rsidRPr="00976FBE">
              <w:t xml:space="preserve"> the Minister</w:t>
            </w:r>
            <w:r w:rsidR="003117FD" w:rsidRPr="00976FBE">
              <w:t xml:space="preserve"> of Civil Protection and Sea Policies</w:t>
            </w:r>
            <w:r w:rsidRPr="00976FBE">
              <w:t xml:space="preserve"> (</w:t>
            </w:r>
            <w:r w:rsidRPr="00976FBE">
              <w:rPr>
                <w:i/>
                <w:iCs/>
              </w:rPr>
              <w:t>Ministro per la Protezione civile e le Politiche del mare</w:t>
            </w:r>
            <w:r w:rsidRPr="00976FBE">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FF9B94D" w:rsidR="003117FD" w:rsidRPr="006B7B0D" w:rsidRDefault="003117FD" w:rsidP="00046C17">
            <w:pPr>
              <w:jc w:val="both"/>
            </w:pPr>
            <w:r>
              <w:t xml:space="preserve">The authority responsible for overseeing the implementation and enforcement of </w:t>
            </w:r>
            <w:r w:rsidR="00976FBE">
              <w:t>the policy tool is primarily MASE.</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6AE001E" w:rsidR="00093CA9" w:rsidRPr="006B7B0D" w:rsidRDefault="00001856"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2ECB25D" w:rsidR="00093CA9" w:rsidRPr="006B7B0D" w:rsidRDefault="003117FD" w:rsidP="00093CA9">
            <w:r>
              <w:t>Ministry of Culture</w:t>
            </w:r>
            <w:r w:rsidR="00FD2D9C">
              <w:t>.</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64F43C52"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15629AD" w:rsidR="00093CA9" w:rsidRPr="006B7B0D" w:rsidRDefault="00001856" w:rsidP="00093CA9">
            <w:r>
              <w:t>X</w:t>
            </w:r>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A8C44D0" w:rsidR="00093CA9" w:rsidRPr="006B7B0D" w:rsidRDefault="00976FBE" w:rsidP="00093CA9">
            <w:r w:rsidRPr="00976FBE">
              <w:t>Ministr</w:t>
            </w:r>
            <w:r>
              <w:t>y</w:t>
            </w:r>
            <w:r w:rsidRPr="00976FBE">
              <w:t xml:space="preserve"> of Civil Protection and Sea Policies</w:t>
            </w:r>
            <w:r>
              <w:t>.</w:t>
            </w:r>
          </w:p>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9CEB412"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32E881BA" w:rsidR="00093CA9" w:rsidRPr="006B7B0D" w:rsidRDefault="00F71582" w:rsidP="00093CA9">
            <w:r>
              <w:t>X</w:t>
            </w:r>
          </w:p>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E37C876" w:rsidR="00093CA9" w:rsidRPr="006B7B0D" w:rsidRDefault="003117FD" w:rsidP="00093CA9">
            <w:r>
              <w:t>Regional Environmental Protection Agencies (ARPA</w:t>
            </w:r>
            <w:r w:rsidR="00976FBE">
              <w:t>s</w:t>
            </w:r>
            <w:r>
              <w:t>)</w:t>
            </w:r>
            <w:r w:rsidR="00FD2D9C">
              <w:t>.</w:t>
            </w:r>
          </w:p>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FA490DF" w:rsidR="00093CA9" w:rsidRPr="006B7B0D" w:rsidRDefault="00F71582" w:rsidP="00093CA9">
            <w:r>
              <w:t>X</w:t>
            </w:r>
          </w:p>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6658C80B" w:rsidR="00093CA9" w:rsidRPr="006B7B0D" w:rsidRDefault="00FD2D9C" w:rsidP="00093CA9">
            <w:r>
              <w:t>National Institute for Environmental Protection and Research (ISPRA).</w:t>
            </w:r>
          </w:p>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135F9613"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0EBB6F57" w:rsidR="00093CA9" w:rsidRPr="006B7B0D" w:rsidRDefault="00F71582" w:rsidP="00093CA9">
            <w:r>
              <w:t>X</w:t>
            </w:r>
          </w:p>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759B0CEA" w14:textId="74014943" w:rsidR="003117FD" w:rsidRDefault="00976FBE" w:rsidP="00046C17">
            <w:pPr>
              <w:jc w:val="both"/>
            </w:pPr>
            <w:r>
              <w:t>The policy tool</w:t>
            </w:r>
            <w:r w:rsidR="00FD2D9C">
              <w:t xml:space="preserve"> </w:t>
            </w:r>
            <w:r w:rsidR="003117FD">
              <w:t>assigns to the competent director general of th</w:t>
            </w:r>
            <w:r w:rsidR="00FD2D9C">
              <w:t xml:space="preserve">e </w:t>
            </w:r>
            <w:r w:rsidR="00B469AD" w:rsidRPr="003117FD">
              <w:t>Minist</w:t>
            </w:r>
            <w:r w:rsidR="00B469AD">
              <w:t>ry</w:t>
            </w:r>
            <w:r w:rsidR="00FD2D9C" w:rsidRPr="003117FD">
              <w:t xml:space="preserve"> of the Environment and Energy Security</w:t>
            </w:r>
            <w:r w:rsidR="00FD2D9C">
              <w:t xml:space="preserve"> </w:t>
            </w:r>
            <w:r w:rsidR="003117FD">
              <w:t xml:space="preserve">significant roles in environmental assessment procedures, authorization processes, and coordination with other ministries such as the Ministry of Culture and the Ministry </w:t>
            </w:r>
            <w:r>
              <w:t>of</w:t>
            </w:r>
            <w:r w:rsidR="003117FD">
              <w:t xml:space="preserve"> Civil Protection and Sea Policies.</w:t>
            </w:r>
          </w:p>
          <w:p w14:paraId="5C9BD120" w14:textId="4214E38B" w:rsidR="003117FD" w:rsidRDefault="003117FD" w:rsidP="00046C17">
            <w:pPr>
              <w:jc w:val="both"/>
            </w:pPr>
            <w:r>
              <w:t>Additionally, the decree provides for the involvement of regional agencies, such as the Regional Environmental Protection Agencies (ARPA</w:t>
            </w:r>
            <w:r w:rsidR="00976FBE">
              <w:t>s</w:t>
            </w:r>
            <w:r>
              <w:t xml:space="preserve">), and the National Institute for </w:t>
            </w:r>
            <w:r>
              <w:lastRenderedPageBreak/>
              <w:t>Environmental Protection and Research (ISPRA), which support technical and scientific activities related to environmental monitoring, site remediation, and risk assessment.</w:t>
            </w:r>
          </w:p>
          <w:p w14:paraId="3E6A483D" w14:textId="77777777" w:rsidR="003117FD" w:rsidRDefault="003117FD" w:rsidP="00046C17">
            <w:pPr>
              <w:jc w:val="both"/>
            </w:pPr>
            <w:r>
              <w:t>For specific sectors, other authorities are designated, including the Ministry of Economy and Finance for financial oversight and the Ministry of Defense for energy transition programs related to military sites.</w:t>
            </w:r>
          </w:p>
          <w:p w14:paraId="42D06D03" w14:textId="30D5D7AB" w:rsidR="00093CA9" w:rsidRDefault="003117FD" w:rsidP="00046C17">
            <w:pPr>
              <w:jc w:val="both"/>
            </w:pPr>
            <w:r>
              <w:t>No supranational EU authority is designated for direct enforcement within this decree; the enforcement and oversight responsibilities rest with the national and regional Italian authorities as specified</w:t>
            </w:r>
            <w:r w:rsidR="00A1393B">
              <w:t xml:space="preserve"> above</w:t>
            </w:r>
            <w:r>
              <w:t>.</w:t>
            </w: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E932988" w:rsidR="00093CA9" w:rsidRDefault="003117FD"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46C17">
            <w:pPr>
              <w:jc w:val="both"/>
            </w:pPr>
          </w:p>
        </w:tc>
        <w:tc>
          <w:tcPr>
            <w:tcW w:w="9169" w:type="dxa"/>
            <w:gridSpan w:val="4"/>
            <w:shd w:val="clear" w:color="auto" w:fill="auto"/>
            <w:vAlign w:val="center"/>
          </w:tcPr>
          <w:p w14:paraId="2A7508C3" w14:textId="77777777" w:rsidR="00B469AD" w:rsidRPr="00B469AD" w:rsidRDefault="00B469AD" w:rsidP="00B469AD">
            <w:pPr>
              <w:keepNext/>
              <w:jc w:val="both"/>
              <w:rPr>
                <w:color w:val="000000" w:themeColor="text1"/>
              </w:rPr>
            </w:pPr>
            <w:r w:rsidRPr="00B469AD">
              <w:rPr>
                <w:color w:val="000000" w:themeColor="text1"/>
              </w:rPr>
              <w:t>The Law Decree of 17 October 2024, n. 153, as subsequently amended by Law n. 191 of 13 December 2024, establishes a comprehensive monitoring framework to oversee the implementation and enforcement of the policy measures contained therein.</w:t>
            </w:r>
          </w:p>
          <w:p w14:paraId="68DEC54F" w14:textId="57189CF6" w:rsidR="00B469AD" w:rsidRPr="00B469AD" w:rsidRDefault="00B469AD" w:rsidP="00B469AD">
            <w:pPr>
              <w:keepNext/>
              <w:jc w:val="both"/>
              <w:rPr>
                <w:color w:val="000000" w:themeColor="text1"/>
              </w:rPr>
            </w:pPr>
            <w:r w:rsidRPr="00B469AD">
              <w:rPr>
                <w:color w:val="000000" w:themeColor="text1"/>
              </w:rPr>
              <w:t>In particular, the decree mandates that entities responsible for soil defense interventions, irrespective of the source of funding, must promptly update the National ReNDiS platform (</w:t>
            </w:r>
            <w:r w:rsidR="0035167A">
              <w:rPr>
                <w:color w:val="000000" w:themeColor="text1"/>
              </w:rPr>
              <w:t>“</w:t>
            </w:r>
            <w:r w:rsidRPr="00B469AD">
              <w:rPr>
                <w:color w:val="000000" w:themeColor="text1"/>
              </w:rPr>
              <w:t>Repertorio nazionale degli interventi per la difesa del suolo</w:t>
            </w:r>
            <w:r w:rsidR="0035167A">
              <w:rPr>
                <w:color w:val="000000" w:themeColor="text1"/>
              </w:rPr>
              <w:t>”</w:t>
            </w:r>
            <w:r w:rsidRPr="00B469AD">
              <w:rPr>
                <w:color w:val="000000" w:themeColor="text1"/>
              </w:rPr>
              <w:t>). This platform functions as a centralized technical repository for interventions aimed at mitigating hydrogeological risks. The required data input includes detailed technical information such as the geographic location of interventions, the nature of the instability addressed, and relevant project documentation, all to be submitted within six months from the decree’s effective date.</w:t>
            </w:r>
          </w:p>
          <w:p w14:paraId="69C09834" w14:textId="77777777" w:rsidR="00B469AD" w:rsidRPr="00B469AD" w:rsidRDefault="00B469AD" w:rsidP="00B469AD">
            <w:pPr>
              <w:keepNext/>
              <w:jc w:val="both"/>
              <w:rPr>
                <w:color w:val="000000" w:themeColor="text1"/>
              </w:rPr>
            </w:pPr>
            <w:r w:rsidRPr="00B469AD">
              <w:rPr>
                <w:color w:val="000000" w:themeColor="text1"/>
              </w:rPr>
              <w:t>Moreover, the decree obliges the transmission of lists of previously uncatalogued soil defense interventions to both ISPRA and the Ministry of Economy and Finance, facilitating their swift incorporation into the ReNDiS platform. Oversight responsibilities are assigned to government commissioners and regional presidents, who are charged with ensuring the timely and complete updating of public administration databases and associated systems.</w:t>
            </w:r>
          </w:p>
          <w:p w14:paraId="2C2128DB" w14:textId="2A824520" w:rsidR="00093CA9" w:rsidRPr="008017F9" w:rsidRDefault="00B469AD" w:rsidP="00046C17">
            <w:pPr>
              <w:keepNext/>
              <w:jc w:val="both"/>
              <w:rPr>
                <w:color w:val="000000" w:themeColor="text1"/>
              </w:rPr>
            </w:pPr>
            <w:r w:rsidRPr="00B469AD">
              <w:rPr>
                <w:color w:val="000000" w:themeColor="text1"/>
              </w:rPr>
              <w:t>These provisions collectively establish a structured system of data collection, reporting, and verification designed to promote transparency and ensure effective monitoring of the policy tool’s implementation.</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76FB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C75C6" w:rsidRDefault="00107CE2" w:rsidP="00DD3144">
            <w:pPr>
              <w:rPr>
                <w:lang w:val="fr-FR"/>
              </w:rPr>
            </w:pPr>
            <w:r w:rsidRPr="000C75C6">
              <w:rPr>
                <w:lang w:val="fr-FR"/>
              </w:rPr>
              <w:t>Minimum revenue (Enter minimum revenue)</w:t>
            </w:r>
          </w:p>
        </w:tc>
        <w:tc>
          <w:tcPr>
            <w:tcW w:w="4910" w:type="dxa"/>
            <w:gridSpan w:val="7"/>
            <w:shd w:val="clear" w:color="auto" w:fill="auto"/>
            <w:vAlign w:val="center"/>
          </w:tcPr>
          <w:p w14:paraId="2518BD70" w14:textId="77777777" w:rsidR="00524D54" w:rsidRPr="000C75C6" w:rsidRDefault="00524D54" w:rsidP="00DD3144">
            <w:pPr>
              <w:rPr>
                <w:lang w:val="fr-FR"/>
              </w:rPr>
            </w:pPr>
          </w:p>
        </w:tc>
      </w:tr>
      <w:tr w:rsidR="00524D54" w:rsidRPr="00976FB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976FB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0C75C6" w:rsidRDefault="00B0479E" w:rsidP="00DD3144">
            <w:pPr>
              <w:rPr>
                <w:lang w:val="fr-FR"/>
              </w:rPr>
            </w:pPr>
            <w:r w:rsidRPr="000C75C6">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0C75C6"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F35C5E9" w:rsidR="00C4670C" w:rsidRPr="00C37D48" w:rsidRDefault="002B2832"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254F479"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5A6A797" w:rsidR="00C4670C" w:rsidRPr="00C37D48" w:rsidRDefault="002B2832"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45F7BA8"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457DAE8"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25DBDA6" w:rsidR="00C4670C" w:rsidRPr="00C37D48" w:rsidRDefault="002B283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99D390A" w:rsidR="00C4670C" w:rsidRPr="00C37D48" w:rsidRDefault="002B283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4680EA4"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4278323"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011A574"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D834D11"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C61FFB3" w:rsidR="00C4670C" w:rsidRPr="00C37D48" w:rsidRDefault="002B2832"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AC5A512" w:rsidR="00C4670C" w:rsidRPr="00C37D48" w:rsidRDefault="002B2832"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0F3A024"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B94677A"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C5AF326"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5B12A9E"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3974EB0"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5C6D1E73"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EFC4C66" w:rsidR="004F276F" w:rsidRPr="00C37D48" w:rsidRDefault="002B2832"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F508BF2"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00D1981" w:rsidR="004F276F" w:rsidRPr="00C37D48" w:rsidRDefault="002B2832"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754CB57" w:rsidR="004F276F" w:rsidRPr="00C37D48" w:rsidRDefault="002B283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87DDF75" w:rsidR="004F276F" w:rsidRPr="00C37D48" w:rsidRDefault="002B2832"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F895999" w:rsidR="004F276F" w:rsidRPr="00C37D48" w:rsidRDefault="002B283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6B29D527"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63A3D048"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1EEE9488" w:rsidR="004F276F" w:rsidRPr="00C37D48" w:rsidRDefault="002B2832"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B8DDA23" w:rsidR="004F276F" w:rsidRPr="00C37D48" w:rsidRDefault="002B2832"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36C87A9" w:rsidR="004F276F" w:rsidRPr="00C37D48" w:rsidRDefault="002B2832"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075DD40" w:rsidR="004F276F" w:rsidRPr="00C37D48" w:rsidRDefault="002B283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DD611C1" w:rsidR="004F276F" w:rsidRPr="00C37D48" w:rsidRDefault="002B2832"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331D773" w:rsidR="004F276F" w:rsidRPr="00C37D48" w:rsidRDefault="002B2832"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CF3E000" w:rsidR="004F276F" w:rsidRPr="00C37D48" w:rsidRDefault="002B283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999B4A" w:rsidR="004F276F" w:rsidRPr="00C37D48" w:rsidRDefault="002B2832"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046C17">
            <w:pPr>
              <w:jc w:val="both"/>
              <w:rPr>
                <w:rFonts w:ascii="Calibri" w:hAnsi="Calibri" w:cs="Calibri"/>
              </w:rPr>
            </w:pPr>
          </w:p>
        </w:tc>
        <w:tc>
          <w:tcPr>
            <w:tcW w:w="9376" w:type="dxa"/>
            <w:gridSpan w:val="5"/>
            <w:shd w:val="clear" w:color="auto" w:fill="auto"/>
            <w:vAlign w:val="center"/>
          </w:tcPr>
          <w:p w14:paraId="09B73D9E" w14:textId="77D32F64" w:rsidR="002B2832" w:rsidRPr="002B2832" w:rsidRDefault="00976FBE" w:rsidP="00046C17">
            <w:pPr>
              <w:jc w:val="both"/>
              <w:rPr>
                <w:rFonts w:ascii="Calibri" w:hAnsi="Calibri" w:cs="Calibri"/>
              </w:rPr>
            </w:pPr>
            <w:r>
              <w:rPr>
                <w:rFonts w:ascii="Calibri" w:hAnsi="Calibri" w:cs="Calibri"/>
              </w:rPr>
              <w:t>T</w:t>
            </w:r>
            <w:r w:rsidR="002B2832" w:rsidRPr="002B2832">
              <w:rPr>
                <w:rFonts w:ascii="Calibri" w:hAnsi="Calibri" w:cs="Calibri"/>
              </w:rPr>
              <w:t>he duties and obligations imposed by the policy tool vary across the targeted entities, reflecting their distinct roles and responsibilities within the environmental, energy, and administrative framework.</w:t>
            </w:r>
          </w:p>
          <w:p w14:paraId="4C3C2923" w14:textId="77777777" w:rsidR="002B2832" w:rsidRPr="00976FBE" w:rsidRDefault="002B2832" w:rsidP="00046C17">
            <w:pPr>
              <w:jc w:val="both"/>
              <w:rPr>
                <w:rFonts w:ascii="Calibri" w:hAnsi="Calibri" w:cs="Calibri"/>
                <w:b/>
                <w:bCs/>
              </w:rPr>
            </w:pPr>
            <w:r w:rsidRPr="00976FBE">
              <w:rPr>
                <w:rFonts w:ascii="Calibri" w:hAnsi="Calibri" w:cs="Calibri"/>
                <w:b/>
                <w:bCs/>
              </w:rPr>
              <w:t>Private Companies, Including SMEs and State-Owned Companies</w:t>
            </w:r>
          </w:p>
          <w:p w14:paraId="3B03099E" w14:textId="77777777" w:rsidR="002B2832" w:rsidRPr="002B2832" w:rsidRDefault="002B2832" w:rsidP="00046C17">
            <w:pPr>
              <w:jc w:val="both"/>
              <w:rPr>
                <w:rFonts w:ascii="Calibri" w:hAnsi="Calibri" w:cs="Calibri"/>
              </w:rPr>
            </w:pPr>
            <w:r w:rsidRPr="002B2832">
              <w:rPr>
                <w:rFonts w:ascii="Calibri" w:hAnsi="Calibri" w:cs="Calibri"/>
              </w:rPr>
              <w:t>These entities are subject to mandatory compliance with environmental assessment procedures, authorization requirements, and sustainability obligations. For instance, private companies involved in renewable energy projects must submit declarations regarding land availability and comply with environmental impact assessments. State-owned companies are similarly bound by these obligations, particularly when engaged in activities related to energy transition and environmental protection.</w:t>
            </w:r>
          </w:p>
          <w:p w14:paraId="2D9A0FC4" w14:textId="77777777" w:rsidR="002B2832" w:rsidRPr="00976FBE" w:rsidRDefault="002B2832" w:rsidP="00046C17">
            <w:pPr>
              <w:jc w:val="both"/>
              <w:rPr>
                <w:rFonts w:ascii="Calibri" w:hAnsi="Calibri" w:cs="Calibri"/>
                <w:b/>
                <w:bCs/>
              </w:rPr>
            </w:pPr>
            <w:r w:rsidRPr="00976FBE">
              <w:rPr>
                <w:rFonts w:ascii="Calibri" w:hAnsi="Calibri" w:cs="Calibri"/>
                <w:b/>
                <w:bCs/>
              </w:rPr>
              <w:t>Government Agencies and Departments (National, Regional, Local, and Unspecified)</w:t>
            </w:r>
          </w:p>
          <w:p w14:paraId="0A5B902C" w14:textId="366A24A9" w:rsidR="002B2832" w:rsidRDefault="002B2832" w:rsidP="00046C17">
            <w:pPr>
              <w:jc w:val="both"/>
              <w:rPr>
                <w:rFonts w:ascii="Calibri" w:hAnsi="Calibri" w:cs="Calibri"/>
              </w:rPr>
            </w:pPr>
            <w:r w:rsidRPr="002B2832">
              <w:rPr>
                <w:rFonts w:ascii="Calibri" w:hAnsi="Calibri" w:cs="Calibri"/>
              </w:rPr>
              <w:t xml:space="preserve">These entities bear comprehensive responsibilities for implementation, enforcement, and monitoring of the policy tool. The Ministry of Environment and Energy Security plays a central coordinating role, including issuing decrees, overseeing environmental evaluations, and </w:t>
            </w:r>
            <w:r w:rsidRPr="002B2832">
              <w:rPr>
                <w:rFonts w:ascii="Calibri" w:hAnsi="Calibri" w:cs="Calibri"/>
              </w:rPr>
              <w:lastRenderedPageBreak/>
              <w:t>managing administrative capacities. Regional agencies such as ARPA</w:t>
            </w:r>
            <w:r w:rsidR="00976FBE">
              <w:rPr>
                <w:rFonts w:ascii="Calibri" w:hAnsi="Calibri" w:cs="Calibri"/>
              </w:rPr>
              <w:t>s</w:t>
            </w:r>
            <w:r w:rsidRPr="002B2832">
              <w:rPr>
                <w:rFonts w:ascii="Calibri" w:hAnsi="Calibri" w:cs="Calibri"/>
              </w:rPr>
              <w:t xml:space="preserve"> and ISPRA provide technical support and conduct environmental monitoring. Local authorities are responsible for timely data reporting and ensuring compliance at the territorial level. The decree also empowers commissioners and other designated officials with specific functions related to project oversight and financial management.</w:t>
            </w:r>
          </w:p>
          <w:p w14:paraId="0B1EB17F" w14:textId="1DD744D9" w:rsidR="00976FBE" w:rsidRPr="002B2832" w:rsidRDefault="00976FBE" w:rsidP="00976FBE">
            <w:pPr>
              <w:jc w:val="both"/>
              <w:rPr>
                <w:rFonts w:ascii="Calibri" w:hAnsi="Calibri" w:cs="Calibri"/>
              </w:rPr>
            </w:pPr>
            <w:r w:rsidRPr="002B2832">
              <w:rPr>
                <w:rFonts w:ascii="Calibri" w:hAnsi="Calibri" w:cs="Calibri"/>
              </w:rPr>
              <w:t>Public administrations have additional administrative and supervisory duties, including data reporting to national platforms (</w:t>
            </w:r>
            <w:r w:rsidRPr="00046C17">
              <w:rPr>
                <w:rFonts w:ascii="Calibri" w:hAnsi="Calibri" w:cs="Calibri"/>
                <w:i/>
                <w:iCs/>
              </w:rPr>
              <w:t>e.g.</w:t>
            </w:r>
            <w:r w:rsidRPr="002B2832">
              <w:rPr>
                <w:rFonts w:ascii="Calibri" w:hAnsi="Calibri" w:cs="Calibri"/>
              </w:rPr>
              <w:t>, ReNDiS), coordination of interventions, and management of financial resources.</w:t>
            </w:r>
          </w:p>
          <w:p w14:paraId="7AB5E12E" w14:textId="77777777" w:rsidR="002B2832" w:rsidRPr="00976FBE" w:rsidRDefault="002B2832" w:rsidP="00046C17">
            <w:pPr>
              <w:jc w:val="both"/>
              <w:rPr>
                <w:rFonts w:ascii="Calibri" w:hAnsi="Calibri" w:cs="Calibri"/>
                <w:b/>
                <w:bCs/>
              </w:rPr>
            </w:pPr>
            <w:r w:rsidRPr="00976FBE">
              <w:rPr>
                <w:rFonts w:ascii="Calibri" w:hAnsi="Calibri" w:cs="Calibri"/>
                <w:b/>
                <w:bCs/>
              </w:rPr>
              <w:t>Sectoral Actors (e.g., Utilities, Professional, Scientific, and Technical Activities)</w:t>
            </w:r>
          </w:p>
          <w:p w14:paraId="41EA3B18" w14:textId="4A81082D" w:rsidR="004F276F" w:rsidRPr="00C37D48" w:rsidRDefault="002B2832" w:rsidP="00976FBE">
            <w:pPr>
              <w:jc w:val="both"/>
              <w:rPr>
                <w:rFonts w:ascii="Calibri" w:hAnsi="Calibri" w:cs="Calibri"/>
              </w:rPr>
            </w:pPr>
            <w:r w:rsidRPr="002B2832">
              <w:rPr>
                <w:rFonts w:ascii="Calibri" w:hAnsi="Calibri" w:cs="Calibri"/>
              </w:rPr>
              <w:t>Sectoral actors engaged in electricity, gas, water supply, waste management, construction, and transportation are subject to mandatory duties concerning environmental compatibility, circular economy practices, and infrastructure development. These duties include adherence to prioritization criteria for projects, participation in monitoring platforms, and compliance with technical and environmental standards.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BCE14EC"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C75C6" w:rsidRDefault="004F276F" w:rsidP="00C37D48">
            <w:pPr>
              <w:rPr>
                <w:rFonts w:ascii="Calibri" w:hAnsi="Calibri" w:cs="Calibri"/>
                <w:lang w:val="fr-FR"/>
              </w:rPr>
            </w:pPr>
            <w:r w:rsidRPr="000C75C6">
              <w:rPr>
                <w:rFonts w:ascii="Calibri" w:hAnsi="Calibri" w:cs="Calibri"/>
                <w:lang w:val="fr-FR"/>
              </w:rPr>
              <w:t>Minimum revenue (Enter minimum revenue)</w:t>
            </w:r>
          </w:p>
        </w:tc>
        <w:tc>
          <w:tcPr>
            <w:tcW w:w="4894" w:type="dxa"/>
            <w:gridSpan w:val="4"/>
            <w:shd w:val="clear" w:color="auto" w:fill="auto"/>
            <w:vAlign w:val="center"/>
          </w:tcPr>
          <w:p w14:paraId="6AD40C56" w14:textId="2C059CD8"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6E5ECEBA"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62DA19E"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F9E018A"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3493054" w:rsidR="004F276F" w:rsidRPr="00C37D48" w:rsidRDefault="002B2832" w:rsidP="00C37D48">
            <w:pPr>
              <w:rPr>
                <w:rFonts w:ascii="Calibri" w:hAnsi="Calibri" w:cs="Calibri"/>
              </w:rPr>
            </w:pPr>
            <w:r w:rsidRPr="002B2832">
              <w:rPr>
                <w:rFonts w:ascii="Calibri" w:hAnsi="Calibri" w:cs="Calibri"/>
              </w:rPr>
              <w:t>Compliance based on activity type, project size/capacity thresholds, and legal/administrative status.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B356FFA" w:rsidR="004F276F" w:rsidRPr="00C37D48" w:rsidRDefault="002B2832"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E416CB6" w:rsidR="004F276F" w:rsidRPr="00C37D48" w:rsidRDefault="002B2832"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C9FB7BE"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E786AA3"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046C17">
            <w:pPr>
              <w:jc w:val="both"/>
              <w:rPr>
                <w:rFonts w:ascii="Calibri" w:hAnsi="Calibri" w:cs="Calibri"/>
              </w:rPr>
            </w:pPr>
          </w:p>
        </w:tc>
        <w:tc>
          <w:tcPr>
            <w:tcW w:w="9374" w:type="dxa"/>
            <w:gridSpan w:val="5"/>
            <w:shd w:val="clear" w:color="auto" w:fill="auto"/>
            <w:vAlign w:val="center"/>
          </w:tcPr>
          <w:p w14:paraId="3BA84EFA" w14:textId="53239611" w:rsidR="001F30DE" w:rsidRPr="00C37D48" w:rsidRDefault="001F30DE" w:rsidP="00046C17">
            <w:pPr>
              <w:jc w:val="both"/>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1526448A" w:rsidR="001F30DE" w:rsidRPr="00C37D48" w:rsidRDefault="002B2832"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D120D96" w:rsidR="001F30DE" w:rsidRPr="00C37D48" w:rsidRDefault="002B283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24F85F9" w:rsidR="004F48E8" w:rsidRPr="00C37D48" w:rsidRDefault="002B283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lastRenderedPageBreak/>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AEE47C3" w:rsidR="000A1365" w:rsidRPr="00C37D48" w:rsidRDefault="002B2832"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046C17">
            <w:pPr>
              <w:jc w:val="both"/>
              <w:rPr>
                <w:rFonts w:ascii="Calibri" w:hAnsi="Calibri" w:cs="Calibri"/>
                <w:b/>
                <w:bCs/>
              </w:rPr>
            </w:pPr>
          </w:p>
        </w:tc>
        <w:tc>
          <w:tcPr>
            <w:tcW w:w="9369" w:type="dxa"/>
            <w:gridSpan w:val="5"/>
            <w:shd w:val="clear" w:color="auto" w:fill="auto"/>
            <w:vAlign w:val="center"/>
          </w:tcPr>
          <w:p w14:paraId="5E31BCF6" w14:textId="7658EDA1" w:rsidR="00D27551" w:rsidRPr="00C37D48" w:rsidRDefault="00D27551" w:rsidP="00046C17">
            <w:pPr>
              <w:jc w:val="both"/>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976FB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0C75C6" w:rsidRDefault="003A2E5E" w:rsidP="00C37D48">
            <w:pPr>
              <w:rPr>
                <w:rFonts w:ascii="Calibri" w:hAnsi="Calibri" w:cs="Calibri"/>
                <w:lang w:val="fr-FR"/>
              </w:rPr>
            </w:pPr>
            <w:r w:rsidRPr="000C75C6">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0C75C6"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046C17">
            <w:pPr>
              <w:jc w:val="both"/>
              <w:rPr>
                <w:rFonts w:ascii="Calibri" w:hAnsi="Calibri" w:cs="Calibri"/>
              </w:rPr>
            </w:pPr>
          </w:p>
        </w:tc>
        <w:tc>
          <w:tcPr>
            <w:tcW w:w="9369" w:type="dxa"/>
            <w:gridSpan w:val="5"/>
            <w:vAlign w:val="center"/>
          </w:tcPr>
          <w:p w14:paraId="03B15135" w14:textId="4CA1321F" w:rsidR="004A4C51" w:rsidRPr="00C37D48" w:rsidRDefault="004A4C51" w:rsidP="00046C17">
            <w:pPr>
              <w:jc w:val="both"/>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lastRenderedPageBreak/>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DA15DA1" w:rsidR="00890032" w:rsidRPr="00C37D48" w:rsidRDefault="00CB33D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5F0CBA2F" w:rsidR="00474855" w:rsidRPr="00C37D48" w:rsidRDefault="00474855" w:rsidP="00046C17">
            <w:pPr>
              <w:jc w:val="both"/>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51CF892" w:rsidR="00B610C2" w:rsidRPr="00610F28" w:rsidRDefault="00CB33D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D4AE6C0" w:rsidR="00B610C2" w:rsidRPr="00610F28" w:rsidRDefault="00CB33D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20AF44E" w:rsidR="00B610C2" w:rsidRPr="00610F28" w:rsidRDefault="00CB33D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FA6B9E7" w:rsidR="00B610C2" w:rsidRPr="00610F28" w:rsidRDefault="00CB33D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316EBAB" w:rsidR="00B610C2" w:rsidRPr="00610F28" w:rsidRDefault="00CB33D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6F0DAF0" w:rsidR="00B610C2" w:rsidRPr="00610F28" w:rsidRDefault="00CB33D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A7B31FC" w:rsidR="00B610C2" w:rsidRPr="00610F28" w:rsidRDefault="00CB33D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5FB2821" w:rsidR="00B610C2" w:rsidRPr="00610F28" w:rsidRDefault="00CB33D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0505501" w:rsidR="00B610C2" w:rsidRPr="00610F28" w:rsidRDefault="00CB33D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F003937" w:rsidR="00B610C2" w:rsidRPr="00610F28" w:rsidRDefault="00CB33D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A0D2A4F" w:rsidR="00B610C2" w:rsidRPr="00610F28" w:rsidRDefault="00CB33D0"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046C17">
            <w:pPr>
              <w:jc w:val="both"/>
              <w:rPr>
                <w:rFonts w:ascii="Calibri" w:hAnsi="Calibri" w:cs="Calibri"/>
              </w:rPr>
            </w:pPr>
          </w:p>
        </w:tc>
        <w:tc>
          <w:tcPr>
            <w:tcW w:w="9373" w:type="dxa"/>
            <w:gridSpan w:val="4"/>
            <w:vAlign w:val="center"/>
          </w:tcPr>
          <w:p w14:paraId="3C2756D6" w14:textId="2B869A82" w:rsidR="00B610C2" w:rsidRPr="00610F28" w:rsidRDefault="000B7145" w:rsidP="00046C17">
            <w:pPr>
              <w:jc w:val="both"/>
              <w:rPr>
                <w:rFonts w:ascii="Calibri" w:hAnsi="Calibri" w:cs="Calibri"/>
              </w:rPr>
            </w:pPr>
            <w:r>
              <w:rPr>
                <w:rFonts w:ascii="Calibri" w:hAnsi="Calibri" w:cs="Calibri"/>
              </w:rPr>
              <w:t>The</w:t>
            </w:r>
            <w:r w:rsidR="00CB33D0" w:rsidRPr="00CB33D0">
              <w:rPr>
                <w:rFonts w:ascii="Calibri" w:hAnsi="Calibri" w:cs="Calibri"/>
              </w:rPr>
              <w:t xml:space="preserve"> Law Decree of 17 October 2024, n. 153, as amended by Law n. 191 of 13 December 2024</w:t>
            </w:r>
            <w:r>
              <w:rPr>
                <w:rFonts w:ascii="Calibri" w:hAnsi="Calibri" w:cs="Calibri"/>
              </w:rPr>
              <w:t xml:space="preserve"> </w:t>
            </w:r>
            <w:r w:rsidRPr="000B7145">
              <w:rPr>
                <w:rFonts w:ascii="Calibri" w:hAnsi="Calibri" w:cs="Calibri"/>
              </w:rPr>
              <w:t>does not mandate or reference any additional standards, frameworks, or guidelines.</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24C6C2F0" w:rsidR="00250F54" w:rsidRPr="00610F28" w:rsidRDefault="000B7145" w:rsidP="00046C17">
            <w:pPr>
              <w:jc w:val="both"/>
              <w:rPr>
                <w:rFonts w:ascii="Calibri" w:hAnsi="Calibri" w:cs="Calibri"/>
              </w:rPr>
            </w:pPr>
            <w:r w:rsidRPr="000B7145">
              <w:rPr>
                <w:rFonts w:ascii="Calibri" w:hAnsi="Calibri" w:cs="Calibri"/>
              </w:rPr>
              <w:t>Following a thorough examination of the Law Decree dated 17 October 2024, n. 153, as amended by Law n. 191 of 13 December 2024, no further substantive information emerges concerning the policy tool’s role in advancing net zero alignment beyond what has been previously detailed.</w:t>
            </w: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76FB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C75C6" w:rsidRDefault="00C66EE0" w:rsidP="00610F28">
            <w:pPr>
              <w:rPr>
                <w:rFonts w:ascii="Calibri" w:hAnsi="Calibri" w:cs="Calibri"/>
                <w:lang w:val="fr-FR"/>
              </w:rPr>
            </w:pPr>
            <w:r w:rsidRPr="000C75C6">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C75C6" w:rsidRDefault="00C66EE0" w:rsidP="00610F28">
            <w:pPr>
              <w:rPr>
                <w:rFonts w:ascii="Calibri" w:hAnsi="Calibri" w:cs="Calibri"/>
                <w:lang w:val="fr-FR"/>
              </w:rPr>
            </w:pPr>
          </w:p>
        </w:tc>
      </w:tr>
      <w:tr w:rsidR="00241257" w:rsidRPr="00976FB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76FB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C75C6" w:rsidRDefault="00092534" w:rsidP="00CF2E7C">
            <w:pPr>
              <w:rPr>
                <w:rFonts w:ascii="Calibri" w:hAnsi="Calibri" w:cs="Calibri"/>
                <w:lang w:val="fr-FR"/>
              </w:rPr>
            </w:pPr>
            <w:r w:rsidRPr="000C75C6">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C75C6" w:rsidRDefault="00092534" w:rsidP="00CF2E7C">
            <w:pPr>
              <w:rPr>
                <w:rFonts w:ascii="Calibri" w:hAnsi="Calibri" w:cs="Calibri"/>
                <w:lang w:val="fr-FR"/>
              </w:rPr>
            </w:pPr>
          </w:p>
        </w:tc>
      </w:tr>
      <w:tr w:rsidR="00092534" w:rsidRPr="00976FB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76FB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C75C6" w:rsidRDefault="00DD292A" w:rsidP="00CF2E7C">
            <w:pPr>
              <w:rPr>
                <w:rFonts w:ascii="Calibri" w:hAnsi="Calibri" w:cs="Calibri"/>
                <w:lang w:val="fr-FR"/>
              </w:rPr>
            </w:pPr>
            <w:r w:rsidRPr="000C75C6">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C75C6" w:rsidRDefault="00DD292A" w:rsidP="00CF2E7C">
            <w:pPr>
              <w:rPr>
                <w:rFonts w:ascii="Calibri" w:hAnsi="Calibri" w:cs="Calibri"/>
                <w:lang w:val="fr-FR"/>
              </w:rPr>
            </w:pPr>
          </w:p>
        </w:tc>
      </w:tr>
      <w:tr w:rsidR="00DD292A" w:rsidRPr="00976FB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76FB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C75C6" w:rsidRDefault="002F0752" w:rsidP="00CF2E7C">
            <w:pPr>
              <w:rPr>
                <w:rFonts w:ascii="Calibri" w:hAnsi="Calibri" w:cs="Calibri"/>
                <w:lang w:val="fr-FR"/>
              </w:rPr>
            </w:pPr>
            <w:r w:rsidRPr="000C75C6">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C75C6" w:rsidRDefault="002F0752" w:rsidP="00CF2E7C">
            <w:pPr>
              <w:rPr>
                <w:rFonts w:ascii="Calibri" w:hAnsi="Calibri" w:cs="Calibri"/>
                <w:lang w:val="fr-FR"/>
              </w:rPr>
            </w:pPr>
          </w:p>
        </w:tc>
      </w:tr>
      <w:tr w:rsidR="002F0752" w:rsidRPr="00976FB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1B54CF" w14:textId="77777777" w:rsidR="0022520C" w:rsidRDefault="0022520C" w:rsidP="00874E39">
      <w:r>
        <w:separator/>
      </w:r>
    </w:p>
  </w:endnote>
  <w:endnote w:type="continuationSeparator" w:id="0">
    <w:p w14:paraId="166550C6" w14:textId="77777777" w:rsidR="0022520C" w:rsidRDefault="0022520C" w:rsidP="00874E39">
      <w:r>
        <w:continuationSeparator/>
      </w:r>
    </w:p>
  </w:endnote>
  <w:endnote w:type="continuationNotice" w:id="1">
    <w:p w14:paraId="55171BE0" w14:textId="77777777" w:rsidR="0022520C" w:rsidRDefault="002252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888E79B"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CAE635" w14:textId="77777777" w:rsidR="0022520C" w:rsidRDefault="0022520C" w:rsidP="00874E39">
      <w:r>
        <w:separator/>
      </w:r>
    </w:p>
  </w:footnote>
  <w:footnote w:type="continuationSeparator" w:id="0">
    <w:p w14:paraId="3B128362" w14:textId="77777777" w:rsidR="0022520C" w:rsidRDefault="0022520C" w:rsidP="00874E39">
      <w:r>
        <w:continuationSeparator/>
      </w:r>
    </w:p>
  </w:footnote>
  <w:footnote w:type="continuationNotice" w:id="1">
    <w:p w14:paraId="54891727" w14:textId="77777777" w:rsidR="0022520C" w:rsidRDefault="002252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AC077F"/>
    <w:multiLevelType w:val="hybridMultilevel"/>
    <w:tmpl w:val="C674D338"/>
    <w:lvl w:ilvl="0" w:tplc="026EAC4E">
      <w:start w:val="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06561520">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856"/>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6C17"/>
    <w:rsid w:val="00047A6C"/>
    <w:rsid w:val="00047A9C"/>
    <w:rsid w:val="00050BDF"/>
    <w:rsid w:val="000526BB"/>
    <w:rsid w:val="00052CA3"/>
    <w:rsid w:val="000555DB"/>
    <w:rsid w:val="0006062B"/>
    <w:rsid w:val="000607C0"/>
    <w:rsid w:val="000609A8"/>
    <w:rsid w:val="00061CCB"/>
    <w:rsid w:val="00062223"/>
    <w:rsid w:val="00062526"/>
    <w:rsid w:val="00063B30"/>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45"/>
    <w:rsid w:val="000B719B"/>
    <w:rsid w:val="000C1982"/>
    <w:rsid w:val="000C2857"/>
    <w:rsid w:val="000C52F1"/>
    <w:rsid w:val="000C75C6"/>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171"/>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AE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20C"/>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832"/>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EDF"/>
    <w:rsid w:val="003020DB"/>
    <w:rsid w:val="00302816"/>
    <w:rsid w:val="00302BC0"/>
    <w:rsid w:val="003032A9"/>
    <w:rsid w:val="00303B91"/>
    <w:rsid w:val="00303D9A"/>
    <w:rsid w:val="00304070"/>
    <w:rsid w:val="00306538"/>
    <w:rsid w:val="00307058"/>
    <w:rsid w:val="003071A8"/>
    <w:rsid w:val="00307464"/>
    <w:rsid w:val="0031143A"/>
    <w:rsid w:val="003117FD"/>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167A"/>
    <w:rsid w:val="00352152"/>
    <w:rsid w:val="003525D5"/>
    <w:rsid w:val="00353C12"/>
    <w:rsid w:val="003540A1"/>
    <w:rsid w:val="003544E0"/>
    <w:rsid w:val="003566B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499B"/>
    <w:rsid w:val="004D5810"/>
    <w:rsid w:val="004D6484"/>
    <w:rsid w:val="004D7C53"/>
    <w:rsid w:val="004E4F56"/>
    <w:rsid w:val="004E51B5"/>
    <w:rsid w:val="004F0C55"/>
    <w:rsid w:val="004F276F"/>
    <w:rsid w:val="004F48E8"/>
    <w:rsid w:val="004F5354"/>
    <w:rsid w:val="00501CCF"/>
    <w:rsid w:val="00502833"/>
    <w:rsid w:val="00502C8A"/>
    <w:rsid w:val="00502F7A"/>
    <w:rsid w:val="00503A3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8ED"/>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525"/>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C8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84E"/>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6FBE"/>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B57"/>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A9"/>
    <w:rsid w:val="009F7316"/>
    <w:rsid w:val="00A02AF3"/>
    <w:rsid w:val="00A035AB"/>
    <w:rsid w:val="00A04C9D"/>
    <w:rsid w:val="00A04DB8"/>
    <w:rsid w:val="00A050A2"/>
    <w:rsid w:val="00A05CFC"/>
    <w:rsid w:val="00A064CE"/>
    <w:rsid w:val="00A0773E"/>
    <w:rsid w:val="00A07FB5"/>
    <w:rsid w:val="00A123CE"/>
    <w:rsid w:val="00A1384B"/>
    <w:rsid w:val="00A1393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870"/>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9AD"/>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CF"/>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1DE"/>
    <w:rsid w:val="00CA7EEF"/>
    <w:rsid w:val="00CB1649"/>
    <w:rsid w:val="00CB179D"/>
    <w:rsid w:val="00CB33D0"/>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5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362"/>
    <w:rsid w:val="00D93C78"/>
    <w:rsid w:val="00D94180"/>
    <w:rsid w:val="00D9431B"/>
    <w:rsid w:val="00D95B33"/>
    <w:rsid w:val="00D964E4"/>
    <w:rsid w:val="00D97224"/>
    <w:rsid w:val="00D97525"/>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4C2"/>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D85"/>
    <w:rsid w:val="00EA4E12"/>
    <w:rsid w:val="00EA5D38"/>
    <w:rsid w:val="00EA65D9"/>
    <w:rsid w:val="00EA673D"/>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582"/>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D9C"/>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39872906">
      <w:bodyDiv w:val="1"/>
      <w:marLeft w:val="0"/>
      <w:marRight w:val="0"/>
      <w:marTop w:val="0"/>
      <w:marBottom w:val="0"/>
      <w:divBdr>
        <w:top w:val="none" w:sz="0" w:space="0" w:color="auto"/>
        <w:left w:val="none" w:sz="0" w:space="0" w:color="auto"/>
        <w:bottom w:val="none" w:sz="0" w:space="0" w:color="auto"/>
        <w:right w:val="none" w:sz="0" w:space="0" w:color="auto"/>
      </w:divBdr>
    </w:div>
    <w:div w:id="271131002">
      <w:bodyDiv w:val="1"/>
      <w:marLeft w:val="0"/>
      <w:marRight w:val="0"/>
      <w:marTop w:val="0"/>
      <w:marBottom w:val="0"/>
      <w:divBdr>
        <w:top w:val="none" w:sz="0" w:space="0" w:color="auto"/>
        <w:left w:val="none" w:sz="0" w:space="0" w:color="auto"/>
        <w:bottom w:val="none" w:sz="0" w:space="0" w:color="auto"/>
        <w:right w:val="none" w:sz="0" w:space="0" w:color="auto"/>
      </w:divBdr>
    </w:div>
    <w:div w:id="5047091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19092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44638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575261">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79968722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 w:id="2097970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711/https://www.consob.it/web/area-pubblica/-/richiamo-di-attenzione-n-1-25-dell-11-febbraio-20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113</Pages>
  <Words>23070</Words>
  <Characters>131504</Characters>
  <DocSecurity>0</DocSecurity>
  <Lines>1095</Lines>
  <Paragraphs>308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154266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2025-05-19T11:01:00Z</dcterms:created>
  <dcterms:modified xsi:type="dcterms:W3CDTF">2025-07-07T21:28:00Z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